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7175E2">
        <w:rPr>
          <w:rFonts w:ascii="Cambria" w:eastAsia="Batang" w:hAnsi="Cambria"/>
          <w:b/>
          <w:color w:val="000000" w:themeColor="text1"/>
        </w:rPr>
        <w:t>TECHNICAL INFORMATION SHEET</w:t>
      </w:r>
    </w:p>
    <w:p w14:paraId="315E1AEF" w14:textId="7B6F3E18" w:rsidR="001541D4" w:rsidRPr="007D4250" w:rsidRDefault="006F75AC" w:rsidP="003E6F57">
      <w:pPr>
        <w:spacing w:after="0" w:line="240" w:lineRule="auto"/>
        <w:ind w:right="4"/>
        <w:contextualSpacing/>
        <w:jc w:val="center"/>
        <w:rPr>
          <w:rFonts w:ascii="Cambria" w:eastAsia="Batang" w:hAnsi="Cambria"/>
          <w:b/>
          <w:color w:val="000000" w:themeColor="text1"/>
        </w:rPr>
      </w:pPr>
      <w:r w:rsidRPr="007D4250">
        <w:rPr>
          <w:rFonts w:ascii="Cambria" w:eastAsia="Batang" w:hAnsi="Cambria"/>
          <w:b/>
          <w:color w:val="000000" w:themeColor="text1"/>
        </w:rPr>
        <w:t>PETITION</w:t>
      </w:r>
      <w:r w:rsidR="0025056A" w:rsidRPr="007D4250">
        <w:rPr>
          <w:rFonts w:ascii="Cambria" w:eastAsia="Batang" w:hAnsi="Cambria"/>
          <w:b/>
          <w:color w:val="000000" w:themeColor="text1"/>
        </w:rPr>
        <w:t xml:space="preserve"> 1287-19 </w:t>
      </w:r>
      <w:r w:rsidR="0025056A" w:rsidRPr="007D4250">
        <w:rPr>
          <w:rFonts w:ascii="Cambria" w:hAnsi="Cambria"/>
          <w:b/>
          <w:bCs/>
          <w:color w:val="000000"/>
        </w:rPr>
        <w:t>ROBERTO MOLINA BARRETO, ZURY MAYTE RÍOS SOSA Y MWR</w:t>
      </w:r>
    </w:p>
    <w:p w14:paraId="023C007F" w14:textId="3AE639D4" w:rsidR="001541D4" w:rsidRPr="00B950E7" w:rsidRDefault="001541D4" w:rsidP="003E6F57">
      <w:pPr>
        <w:spacing w:after="0" w:line="240" w:lineRule="auto"/>
        <w:ind w:right="4"/>
        <w:contextualSpacing/>
        <w:jc w:val="center"/>
        <w:rPr>
          <w:rFonts w:ascii="Cambria" w:eastAsia="Batang" w:hAnsi="Cambria"/>
          <w:b/>
          <w:color w:val="000000" w:themeColor="text1"/>
        </w:rPr>
      </w:pPr>
      <w:r w:rsidRPr="007D4250">
        <w:rPr>
          <w:rFonts w:ascii="Cambria" w:eastAsia="Batang" w:hAnsi="Cambria"/>
          <w:b/>
          <w:color w:val="000000" w:themeColor="text1"/>
        </w:rPr>
        <w:t>FRIENDLY SETTLEMENT REPORT No.</w:t>
      </w:r>
      <w:r w:rsidR="00D735C2" w:rsidRPr="007D4250">
        <w:rPr>
          <w:rFonts w:ascii="Cambria" w:eastAsia="Batang" w:hAnsi="Cambria"/>
          <w:b/>
          <w:color w:val="000000" w:themeColor="text1"/>
        </w:rPr>
        <w:t xml:space="preserve"> </w:t>
      </w:r>
      <w:hyperlink r:id="rId12" w:history="1">
        <w:r w:rsidR="0025056A" w:rsidRPr="007D4250">
          <w:rPr>
            <w:rStyle w:val="Hyperlink"/>
            <w:rFonts w:ascii="Cambria" w:hAnsi="Cambria"/>
            <w:b/>
          </w:rPr>
          <w:t>61/22</w:t>
        </w:r>
      </w:hyperlink>
      <w:r w:rsidR="0025056A" w:rsidRPr="00B950E7">
        <w:rPr>
          <w:rFonts w:ascii="Cambria" w:eastAsia="Batang" w:hAnsi="Cambria"/>
          <w:b/>
          <w:color w:val="000000" w:themeColor="text1"/>
        </w:rPr>
        <w:t xml:space="preserve"> </w:t>
      </w:r>
    </w:p>
    <w:p w14:paraId="52EBA80E" w14:textId="77777777" w:rsidR="001541D4" w:rsidRPr="00B950E7" w:rsidRDefault="001541D4" w:rsidP="003E6F57">
      <w:pPr>
        <w:spacing w:after="0" w:line="240" w:lineRule="auto"/>
        <w:ind w:right="4"/>
        <w:contextualSpacing/>
        <w:jc w:val="center"/>
        <w:rPr>
          <w:rFonts w:ascii="Cambria" w:eastAsia="Batang" w:hAnsi="Cambria"/>
          <w:b/>
          <w:color w:val="000000" w:themeColor="text1"/>
        </w:rPr>
      </w:pPr>
      <w:r w:rsidRPr="00B950E7">
        <w:rPr>
          <w:rFonts w:ascii="Cambria" w:eastAsia="Batang" w:hAnsi="Cambria"/>
          <w:b/>
          <w:color w:val="000000" w:themeColor="text1"/>
        </w:rPr>
        <w:t>TOTAL COMPLIANCE</w:t>
      </w:r>
    </w:p>
    <w:p w14:paraId="359B0977" w14:textId="3F48625C"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7D4250">
        <w:rPr>
          <w:rFonts w:ascii="Cambria" w:eastAsia="Batang" w:hAnsi="Cambria"/>
          <w:b/>
          <w:color w:val="000000" w:themeColor="text1"/>
        </w:rPr>
        <w:t>(</w:t>
      </w:r>
      <w:r w:rsidR="0025056A" w:rsidRPr="007D4250">
        <w:rPr>
          <w:rFonts w:ascii="Cambria" w:eastAsia="Batang" w:hAnsi="Cambria"/>
          <w:b/>
          <w:color w:val="000000" w:themeColor="text1"/>
        </w:rPr>
        <w:t>GUATEMALA</w:t>
      </w:r>
      <w:r w:rsidRPr="007D4250">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B56444" w14:paraId="58669F97" w14:textId="77777777" w:rsidTr="00B05747">
        <w:trPr>
          <w:trHeight w:val="699"/>
          <w:jc w:val="center"/>
        </w:trPr>
        <w:tc>
          <w:tcPr>
            <w:tcW w:w="9350" w:type="dxa"/>
            <w:shd w:val="clear" w:color="auto" w:fill="F2F2F2"/>
          </w:tcPr>
          <w:p w14:paraId="4E396CB2" w14:textId="77777777" w:rsidR="0025056A" w:rsidRPr="007D4250" w:rsidRDefault="0025056A" w:rsidP="0025056A">
            <w:pPr>
              <w:spacing w:after="0" w:line="240" w:lineRule="auto"/>
              <w:jc w:val="both"/>
              <w:rPr>
                <w:rFonts w:ascii="Cambria" w:hAnsi="Cambria"/>
                <w:sz w:val="20"/>
                <w:szCs w:val="20"/>
                <w:lang w:val="es-ES"/>
              </w:rPr>
            </w:pPr>
            <w:r w:rsidRPr="007D4250">
              <w:rPr>
                <w:rFonts w:ascii="Cambria" w:hAnsi="Cambria"/>
                <w:b/>
                <w:bCs/>
                <w:sz w:val="20"/>
                <w:szCs w:val="20"/>
                <w:lang w:val="es-ES"/>
              </w:rPr>
              <w:t>Victim(s):</w:t>
            </w:r>
            <w:r w:rsidRPr="007D4250">
              <w:rPr>
                <w:rFonts w:ascii="Cambria" w:hAnsi="Cambria"/>
                <w:sz w:val="20"/>
                <w:szCs w:val="20"/>
                <w:lang w:val="es-ES"/>
              </w:rPr>
              <w:t xml:space="preserve"> Roberto Molina Barreto, Zury Mayte Ríos Sosa y MWR</w:t>
            </w:r>
          </w:p>
          <w:p w14:paraId="0C0BBC5D" w14:textId="77777777" w:rsidR="0025056A" w:rsidRPr="007D4250" w:rsidRDefault="0025056A" w:rsidP="0025056A">
            <w:pPr>
              <w:spacing w:after="0" w:line="240" w:lineRule="auto"/>
              <w:jc w:val="both"/>
              <w:rPr>
                <w:rFonts w:ascii="Cambria" w:hAnsi="Cambria"/>
                <w:sz w:val="20"/>
                <w:szCs w:val="20"/>
              </w:rPr>
            </w:pPr>
            <w:r w:rsidRPr="007D4250">
              <w:rPr>
                <w:rFonts w:ascii="Cambria" w:hAnsi="Cambria"/>
                <w:b/>
                <w:bCs/>
                <w:sz w:val="20"/>
                <w:szCs w:val="20"/>
              </w:rPr>
              <w:t>Petitioner(s):</w:t>
            </w:r>
            <w:r w:rsidRPr="007D4250">
              <w:rPr>
                <w:rFonts w:ascii="Cambria" w:hAnsi="Cambria"/>
                <w:sz w:val="20"/>
                <w:szCs w:val="20"/>
              </w:rPr>
              <w:t xml:space="preserve"> Angela Margarita Rey Anaya y Jose Estuardo Cordova Guirola</w:t>
            </w:r>
          </w:p>
          <w:p w14:paraId="3945EB24" w14:textId="77777777" w:rsidR="0025056A" w:rsidRPr="007D4250" w:rsidRDefault="0025056A" w:rsidP="0025056A">
            <w:pPr>
              <w:spacing w:after="0" w:line="240" w:lineRule="auto"/>
              <w:jc w:val="both"/>
              <w:rPr>
                <w:rFonts w:ascii="Cambria" w:hAnsi="Cambria"/>
                <w:sz w:val="20"/>
                <w:szCs w:val="20"/>
              </w:rPr>
            </w:pPr>
            <w:r w:rsidRPr="007D4250">
              <w:rPr>
                <w:rFonts w:ascii="Cambria" w:hAnsi="Cambria"/>
                <w:b/>
                <w:bCs/>
                <w:sz w:val="20"/>
                <w:szCs w:val="20"/>
              </w:rPr>
              <w:t>State:</w:t>
            </w:r>
            <w:r w:rsidRPr="007D4250">
              <w:rPr>
                <w:rFonts w:ascii="Cambria" w:hAnsi="Cambria"/>
                <w:sz w:val="20"/>
                <w:szCs w:val="20"/>
              </w:rPr>
              <w:t xml:space="preserve"> Guatemala</w:t>
            </w:r>
            <w:r w:rsidRPr="007D4250">
              <w:rPr>
                <w:rFonts w:ascii="Cambria" w:hAnsi="Cambria"/>
                <w:sz w:val="20"/>
                <w:szCs w:val="20"/>
              </w:rPr>
              <w:tab/>
            </w:r>
          </w:p>
          <w:p w14:paraId="4A5A9620" w14:textId="77777777" w:rsidR="0025056A" w:rsidRPr="007D4250" w:rsidRDefault="0025056A" w:rsidP="0025056A">
            <w:pPr>
              <w:spacing w:after="0" w:line="240" w:lineRule="auto"/>
              <w:jc w:val="both"/>
              <w:rPr>
                <w:rFonts w:ascii="Cambria" w:hAnsi="Cambria"/>
                <w:sz w:val="20"/>
                <w:szCs w:val="20"/>
              </w:rPr>
            </w:pPr>
            <w:r w:rsidRPr="007D4250">
              <w:rPr>
                <w:rFonts w:ascii="Cambria" w:hAnsi="Cambria"/>
                <w:b/>
                <w:bCs/>
                <w:sz w:val="20"/>
                <w:szCs w:val="20"/>
              </w:rPr>
              <w:t>Beginning of the negotiation date:</w:t>
            </w:r>
            <w:r w:rsidRPr="007D4250">
              <w:rPr>
                <w:rFonts w:ascii="Cambria" w:hAnsi="Cambria"/>
                <w:sz w:val="20"/>
                <w:szCs w:val="20"/>
              </w:rPr>
              <w:t xml:space="preserve"> August 25, 2001</w:t>
            </w:r>
          </w:p>
          <w:p w14:paraId="103E1F7F" w14:textId="77777777" w:rsidR="0025056A" w:rsidRPr="007D4250" w:rsidRDefault="0025056A" w:rsidP="0025056A">
            <w:pPr>
              <w:spacing w:after="0" w:line="240" w:lineRule="auto"/>
              <w:jc w:val="both"/>
              <w:rPr>
                <w:rFonts w:ascii="Cambria" w:hAnsi="Cambria"/>
                <w:sz w:val="20"/>
                <w:szCs w:val="20"/>
              </w:rPr>
            </w:pPr>
            <w:r w:rsidRPr="007D4250">
              <w:rPr>
                <w:rFonts w:ascii="Cambria" w:hAnsi="Cambria"/>
                <w:b/>
                <w:bCs/>
                <w:sz w:val="20"/>
                <w:szCs w:val="20"/>
              </w:rPr>
              <w:t>FSA signature date:</w:t>
            </w:r>
            <w:r w:rsidRPr="007D4250">
              <w:rPr>
                <w:rFonts w:ascii="Cambria" w:hAnsi="Cambria"/>
                <w:sz w:val="20"/>
                <w:szCs w:val="20"/>
              </w:rPr>
              <w:t xml:space="preserve"> December 28, 2021</w:t>
            </w:r>
          </w:p>
          <w:p w14:paraId="3A4B04C2" w14:textId="77777777" w:rsidR="0025056A" w:rsidRPr="007D4250" w:rsidRDefault="0025056A" w:rsidP="0025056A">
            <w:pPr>
              <w:spacing w:after="0" w:line="240" w:lineRule="auto"/>
              <w:jc w:val="both"/>
              <w:rPr>
                <w:rFonts w:ascii="Cambria" w:hAnsi="Cambria"/>
                <w:sz w:val="20"/>
                <w:szCs w:val="20"/>
              </w:rPr>
            </w:pPr>
            <w:r w:rsidRPr="007D4250">
              <w:rPr>
                <w:rFonts w:ascii="Cambria" w:hAnsi="Cambria"/>
                <w:b/>
                <w:bCs/>
                <w:sz w:val="20"/>
                <w:szCs w:val="20"/>
              </w:rPr>
              <w:t>Friendly Settlement Agreement Report No.:</w:t>
            </w:r>
            <w:r w:rsidRPr="007D4250">
              <w:rPr>
                <w:rFonts w:ascii="Cambria" w:hAnsi="Cambria"/>
                <w:sz w:val="20"/>
                <w:szCs w:val="20"/>
              </w:rPr>
              <w:t xml:space="preserve"> </w:t>
            </w:r>
            <w:hyperlink r:id="rId13" w:history="1">
              <w:r w:rsidRPr="007D4250">
                <w:rPr>
                  <w:rStyle w:val="Hyperlink"/>
                  <w:rFonts w:ascii="Cambria" w:hAnsi="Cambria"/>
                  <w:b/>
                  <w:bCs/>
                  <w:color w:val="auto"/>
                  <w:sz w:val="20"/>
                  <w:szCs w:val="20"/>
                </w:rPr>
                <w:t>61/22</w:t>
              </w:r>
            </w:hyperlink>
            <w:r w:rsidRPr="007D4250">
              <w:rPr>
                <w:rFonts w:ascii="Cambria" w:hAnsi="Cambria"/>
                <w:sz w:val="20"/>
                <w:szCs w:val="20"/>
              </w:rPr>
              <w:t xml:space="preserve"> published on April 24, 2022</w:t>
            </w:r>
          </w:p>
          <w:p w14:paraId="6B02541A" w14:textId="77777777" w:rsidR="0025056A" w:rsidRPr="007D4250" w:rsidRDefault="0025056A" w:rsidP="0025056A">
            <w:pPr>
              <w:spacing w:after="0" w:line="240" w:lineRule="auto"/>
              <w:jc w:val="both"/>
              <w:rPr>
                <w:rFonts w:ascii="Cambria" w:hAnsi="Cambria"/>
                <w:sz w:val="20"/>
                <w:szCs w:val="20"/>
              </w:rPr>
            </w:pPr>
            <w:r w:rsidRPr="007D4250">
              <w:rPr>
                <w:rFonts w:ascii="Cambria" w:hAnsi="Cambria"/>
                <w:b/>
                <w:bCs/>
                <w:sz w:val="20"/>
                <w:szCs w:val="20"/>
              </w:rPr>
              <w:t>Estimated length of the negotiation phase:</w:t>
            </w:r>
            <w:r w:rsidRPr="007D4250">
              <w:rPr>
                <w:rFonts w:ascii="Cambria" w:hAnsi="Cambria"/>
                <w:sz w:val="20"/>
                <w:szCs w:val="20"/>
              </w:rPr>
              <w:t xml:space="preserve"> 4 months</w:t>
            </w:r>
          </w:p>
          <w:p w14:paraId="53614A2D" w14:textId="77777777" w:rsidR="0025056A" w:rsidRPr="007D4250" w:rsidRDefault="0025056A" w:rsidP="0025056A">
            <w:pPr>
              <w:spacing w:after="0" w:line="240" w:lineRule="auto"/>
              <w:jc w:val="both"/>
              <w:rPr>
                <w:rFonts w:ascii="Cambria" w:hAnsi="Cambria"/>
                <w:sz w:val="20"/>
                <w:szCs w:val="20"/>
              </w:rPr>
            </w:pPr>
            <w:r w:rsidRPr="007D4250">
              <w:rPr>
                <w:rFonts w:ascii="Cambria" w:hAnsi="Cambria"/>
                <w:b/>
                <w:bCs/>
                <w:sz w:val="20"/>
                <w:szCs w:val="20"/>
              </w:rPr>
              <w:t>Related Rapporteurship:</w:t>
            </w:r>
            <w:r w:rsidRPr="007D4250">
              <w:rPr>
                <w:rFonts w:ascii="Cambria" w:hAnsi="Cambria"/>
                <w:sz w:val="20"/>
                <w:szCs w:val="20"/>
              </w:rPr>
              <w:t xml:space="preserve"> N/A</w:t>
            </w:r>
          </w:p>
          <w:p w14:paraId="56678D5E" w14:textId="77777777" w:rsidR="0025056A" w:rsidRPr="007D4250" w:rsidRDefault="0025056A" w:rsidP="0025056A">
            <w:pPr>
              <w:spacing w:after="0" w:line="240" w:lineRule="auto"/>
              <w:jc w:val="both"/>
              <w:rPr>
                <w:rFonts w:ascii="Cambria" w:hAnsi="Cambria"/>
                <w:sz w:val="20"/>
                <w:szCs w:val="20"/>
              </w:rPr>
            </w:pPr>
            <w:r w:rsidRPr="007D4250">
              <w:rPr>
                <w:rFonts w:ascii="Cambria" w:hAnsi="Cambria"/>
                <w:b/>
                <w:bCs/>
                <w:sz w:val="20"/>
                <w:szCs w:val="20"/>
              </w:rPr>
              <w:t>Topics:</w:t>
            </w:r>
            <w:r w:rsidRPr="007D4250">
              <w:rPr>
                <w:rFonts w:ascii="Cambria" w:hAnsi="Cambria"/>
                <w:sz w:val="20"/>
                <w:szCs w:val="20"/>
              </w:rPr>
              <w:t xml:space="preserve"> Freedom from Ex Post Facto Laws/ Freedom of expression / Rights of the child / Right to participate in government / Equal protection / Judicial guarantees / Judicial protection</w:t>
            </w:r>
          </w:p>
          <w:p w14:paraId="5DA73400" w14:textId="77777777" w:rsidR="0025056A" w:rsidRPr="007D4250" w:rsidRDefault="0025056A" w:rsidP="0025056A">
            <w:pPr>
              <w:pStyle w:val="NoSpacing"/>
              <w:tabs>
                <w:tab w:val="left" w:pos="9270"/>
              </w:tabs>
              <w:jc w:val="both"/>
              <w:rPr>
                <w:rFonts w:ascii="Cambria" w:hAnsi="Cambria"/>
                <w:color w:val="000000"/>
                <w:sz w:val="20"/>
                <w:szCs w:val="20"/>
              </w:rPr>
            </w:pPr>
          </w:p>
          <w:p w14:paraId="7282D091" w14:textId="77777777" w:rsidR="0025056A" w:rsidRPr="007D4250" w:rsidRDefault="0025056A" w:rsidP="0025056A">
            <w:pPr>
              <w:tabs>
                <w:tab w:val="center" w:pos="720"/>
              </w:tabs>
              <w:suppressAutoHyphens/>
              <w:spacing w:after="0" w:line="240" w:lineRule="auto"/>
              <w:jc w:val="both"/>
              <w:rPr>
                <w:rFonts w:ascii="Cambria" w:hAnsi="Cambria"/>
                <w:sz w:val="20"/>
                <w:szCs w:val="20"/>
              </w:rPr>
            </w:pPr>
            <w:r w:rsidRPr="007D4250">
              <w:rPr>
                <w:rFonts w:ascii="Cambria" w:hAnsi="Cambria"/>
                <w:b/>
                <w:bCs/>
                <w:color w:val="000000"/>
                <w:sz w:val="20"/>
                <w:szCs w:val="20"/>
              </w:rPr>
              <w:t xml:space="preserve">Facts: </w:t>
            </w:r>
            <w:r w:rsidRPr="007D4250">
              <w:rPr>
                <w:rFonts w:ascii="Cambria" w:hAnsi="Cambria"/>
                <w:sz w:val="20"/>
                <w:szCs w:val="20"/>
                <w:bdr w:val="none" w:sz="0" w:space="0" w:color="auto" w:frame="1"/>
              </w:rPr>
              <w:t xml:space="preserve">As alleged by the petitioners, </w:t>
            </w:r>
            <w:r w:rsidRPr="007D4250">
              <w:rPr>
                <w:rFonts w:ascii="Cambria" w:hAnsi="Cambria"/>
                <w:sz w:val="20"/>
                <w:szCs w:val="20"/>
              </w:rPr>
              <w:t xml:space="preserve">on January 19, 2019, general elections were called for the offices of President and Vice President of the Republic, among others, and the political party Valor, through the General Assembly, reportedly designated Mrs. Zury Mayté Ríos Sosa, and Mr. Roberto Molina Barreto as its candidates for the Presidency and Vice Presidency of the Republic, respectively. </w:t>
            </w:r>
            <w:r w:rsidRPr="007D4250">
              <w:rPr>
                <w:rFonts w:ascii="Cambria" w:hAnsi="Cambria"/>
                <w:color w:val="000000"/>
                <w:sz w:val="20"/>
                <w:szCs w:val="20"/>
              </w:rPr>
              <w:t xml:space="preserve">[…]  </w:t>
            </w:r>
            <w:r w:rsidRPr="007D4250">
              <w:rPr>
                <w:rFonts w:ascii="Cambria" w:hAnsi="Cambria"/>
                <w:sz w:val="20"/>
                <w:szCs w:val="20"/>
                <w:bdr w:val="none" w:sz="0" w:space="0" w:color="auto" w:frame="1"/>
              </w:rPr>
              <w:t>As indicated by the petitioners, on</w:t>
            </w:r>
            <w:r w:rsidRPr="007D4250">
              <w:rPr>
                <w:rFonts w:ascii="Cambria" w:hAnsi="Cambria"/>
                <w:sz w:val="20"/>
                <w:szCs w:val="20"/>
              </w:rPr>
              <w:t xml:space="preserve"> January 28, 2019, the Office of The Citizen Registry of the Supreme Electoral Tribunal, would have issued a resolution rejecting the registration of Mr. Roberto Molina Barreto and Mrs. Zury Mayté Ríos Sosa, as candidates to participate in the electoral contests for the offices of President and Vice President. Likewise, the petitioners noted that, on February 1, 2019, the Supreme Electoral Tribunal denied the appeal filed against the decision adopted on January 28, 2019, confirming the decision to reject the registration of the nominated candidates. On the other hand, on February 13, 2019, the Supreme Court of Justice of Guatemala reportedly issued its decision on an appeal for annulment filed, granting a provisional injunction, and ordering the registration of the proposed candidacies. As alleged by the petitioners, although the Supreme Electoral Tribunal advanced the registration of the candidates, at the same time it would have filed an appeal against the decision adopted by the aforementioned court on February 13, 2019. </w:t>
            </w:r>
            <w:r w:rsidRPr="007D4250">
              <w:rPr>
                <w:rFonts w:ascii="Cambria" w:hAnsi="Cambria"/>
                <w:color w:val="000000"/>
                <w:sz w:val="20"/>
                <w:szCs w:val="20"/>
              </w:rPr>
              <w:t xml:space="preserve">[...] </w:t>
            </w:r>
            <w:r w:rsidRPr="007D4250">
              <w:rPr>
                <w:rFonts w:ascii="Cambria" w:hAnsi="Cambria"/>
                <w:sz w:val="20"/>
                <w:szCs w:val="20"/>
              </w:rPr>
              <w:t xml:space="preserve">Subsequently, without revoking the registration of the candidates for the positions of presidency and vice presidency, on March 12, 2019, the Constitutional Court of Guatemala reportedly revoked the provisional injunction. According to the petitioner, the decision adopted in 2019 by both bodies, the Supreme Electoral Tribunal, and the Constitutional Court, ignored not only the constitutional history of the aforementioned rule, but also the scope granted to it by the Constitutional Court in 1989, interpreting that the normative provision in question cannot be applied in a timeless manner, or otherwise it would imply politically sanctioning a person for acts of third parties. </w:t>
            </w:r>
            <w:r w:rsidRPr="007D4250">
              <w:rPr>
                <w:rFonts w:ascii="Cambria" w:hAnsi="Cambria"/>
                <w:color w:val="000000"/>
                <w:sz w:val="20"/>
                <w:szCs w:val="20"/>
              </w:rPr>
              <w:t>[..]</w:t>
            </w:r>
          </w:p>
          <w:p w14:paraId="1F885273" w14:textId="77777777" w:rsidR="0025056A" w:rsidRPr="007D4250" w:rsidRDefault="0025056A" w:rsidP="0025056A">
            <w:pPr>
              <w:tabs>
                <w:tab w:val="center" w:pos="720"/>
              </w:tabs>
              <w:suppressAutoHyphens/>
              <w:spacing w:after="0" w:line="240" w:lineRule="auto"/>
              <w:jc w:val="both"/>
              <w:rPr>
                <w:rFonts w:ascii="Cambria" w:hAnsi="Cambria"/>
                <w:sz w:val="20"/>
                <w:szCs w:val="20"/>
              </w:rPr>
            </w:pPr>
          </w:p>
          <w:p w14:paraId="38FCE193" w14:textId="4BCFBE59" w:rsidR="006F75AC" w:rsidRPr="007D4250" w:rsidRDefault="0025056A" w:rsidP="0025056A">
            <w:pPr>
              <w:tabs>
                <w:tab w:val="left" w:pos="9270"/>
              </w:tabs>
              <w:spacing w:after="0" w:line="240" w:lineRule="auto"/>
              <w:jc w:val="both"/>
              <w:rPr>
                <w:rFonts w:ascii="Cambria" w:eastAsia="Batang" w:hAnsi="Cambria"/>
                <w:color w:val="000000"/>
                <w:sz w:val="20"/>
                <w:szCs w:val="20"/>
              </w:rPr>
            </w:pPr>
            <w:r w:rsidRPr="007D4250">
              <w:rPr>
                <w:rFonts w:ascii="Cambria" w:hAnsi="Cambria"/>
                <w:b/>
                <w:bCs/>
                <w:color w:val="000000"/>
                <w:sz w:val="20"/>
                <w:szCs w:val="20"/>
              </w:rPr>
              <w:t>Alleged rights:</w:t>
            </w:r>
            <w:r w:rsidRPr="007D4250">
              <w:rPr>
                <w:rFonts w:ascii="Cambria" w:hAnsi="Cambria"/>
                <w:color w:val="000000"/>
                <w:sz w:val="20"/>
                <w:szCs w:val="20"/>
              </w:rPr>
              <w:t xml:space="preserve"> On May 24, 2019, the IACHR received a petition filed by Zury Mayté Ríos Sosa, alleging the international responsibility of the Republic of Guatemala for the violation of human rights enshrined in Articles 5 (personal integrity), 8 (judicial guarantees), 9 (freedom from ex post facto Laws), 11 (protection of honor and dignity), 13 (freedom of expression), 19 (rights of the child), 23 (right to participate in government), 24 (equal protection), and 25 (guarantees of judicial protection), in relation to Articles 1 (obligation to respect) and 2 (obligation to adopt domestic legal effects) of the American Convention on Human Rights, to her detriment, that of her daughter and of Roberto Molina Barreto.</w:t>
            </w:r>
          </w:p>
        </w:tc>
      </w:tr>
    </w:tbl>
    <w:p w14:paraId="74053FDD" w14:textId="77777777" w:rsidR="001541D4" w:rsidRDefault="001541D4" w:rsidP="001541D4">
      <w:pPr>
        <w:spacing w:after="0" w:line="240" w:lineRule="auto"/>
        <w:ind w:left="720"/>
        <w:contextualSpacing/>
        <w:jc w:val="both"/>
        <w:rPr>
          <w:rFonts w:ascii="Cambria" w:eastAsia="Batang" w:hAnsi="Cambria" w:cs="Calibri Light"/>
          <w:b/>
          <w:color w:val="000000"/>
        </w:rPr>
      </w:pPr>
    </w:p>
    <w:p w14:paraId="37F21A7D" w14:textId="77777777" w:rsidR="00335F59" w:rsidRPr="007175E2" w:rsidRDefault="00335F59" w:rsidP="001541D4">
      <w:pPr>
        <w:spacing w:after="0" w:line="240" w:lineRule="auto"/>
        <w:ind w:left="720"/>
        <w:contextualSpacing/>
        <w:jc w:val="both"/>
        <w:rPr>
          <w:rFonts w:ascii="Cambria" w:eastAsia="Batang" w:hAnsi="Cambria" w:cs="Calibri Light"/>
          <w:b/>
          <w:color w:val="000000"/>
        </w:rPr>
      </w:pPr>
    </w:p>
    <w:p w14:paraId="08700397" w14:textId="77777777" w:rsidR="001541D4" w:rsidRPr="007175E2" w:rsidRDefault="001541D4" w:rsidP="00637AFB">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lastRenderedPageBreak/>
        <w:t>PROCEDURAL ACTIVITY</w:t>
      </w:r>
    </w:p>
    <w:p w14:paraId="622D1A9C" w14:textId="77777777" w:rsidR="001541D4" w:rsidRPr="007175E2" w:rsidRDefault="001541D4" w:rsidP="005C32AA">
      <w:pPr>
        <w:spacing w:after="0" w:line="240" w:lineRule="auto"/>
        <w:contextualSpacing/>
        <w:jc w:val="both"/>
        <w:rPr>
          <w:rFonts w:ascii="Cambria" w:eastAsia="Batang" w:hAnsi="Cambria" w:cs="Calibri Light"/>
          <w:color w:val="000000"/>
        </w:rPr>
      </w:pPr>
    </w:p>
    <w:p w14:paraId="031ED69E" w14:textId="538A7353" w:rsidR="005C32AA" w:rsidRPr="007D4250" w:rsidRDefault="005C32AA" w:rsidP="005C32AA">
      <w:pPr>
        <w:pStyle w:val="ListParagraph"/>
        <w:numPr>
          <w:ilvl w:val="0"/>
          <w:numId w:val="4"/>
        </w:numPr>
        <w:spacing w:after="0" w:line="240" w:lineRule="auto"/>
        <w:jc w:val="both"/>
        <w:rPr>
          <w:rFonts w:ascii="Cambria" w:eastAsia="Batang" w:hAnsi="Cambria"/>
          <w:bCs/>
          <w:color w:val="080808"/>
          <w:sz w:val="20"/>
          <w:szCs w:val="20"/>
        </w:rPr>
      </w:pPr>
      <w:r w:rsidRPr="007D4250">
        <w:rPr>
          <w:rFonts w:ascii="Cambria" w:hAnsi="Cambria"/>
          <w:sz w:val="20"/>
          <w:szCs w:val="20"/>
        </w:rPr>
        <w:t xml:space="preserve">         On December 28, 2021, the parties signed a friendly settlement agreement.</w:t>
      </w:r>
    </w:p>
    <w:p w14:paraId="098FE7C9" w14:textId="77777777" w:rsidR="005C32AA" w:rsidRPr="007D4250" w:rsidRDefault="005C32AA" w:rsidP="005C32AA">
      <w:pPr>
        <w:pStyle w:val="ListParagraph"/>
        <w:spacing w:after="0" w:line="240" w:lineRule="auto"/>
        <w:ind w:left="1080"/>
        <w:jc w:val="both"/>
        <w:rPr>
          <w:rFonts w:ascii="Cambria" w:eastAsia="Batang" w:hAnsi="Cambria"/>
          <w:bCs/>
          <w:color w:val="080808"/>
          <w:sz w:val="20"/>
          <w:szCs w:val="20"/>
        </w:rPr>
      </w:pPr>
    </w:p>
    <w:p w14:paraId="69430DCA" w14:textId="2C750CD4" w:rsidR="006F75AC" w:rsidRPr="007D4250" w:rsidRDefault="005C32AA" w:rsidP="005C32AA">
      <w:pPr>
        <w:pStyle w:val="ListParagraph"/>
        <w:numPr>
          <w:ilvl w:val="0"/>
          <w:numId w:val="4"/>
        </w:numPr>
        <w:spacing w:after="0" w:line="240" w:lineRule="auto"/>
        <w:ind w:left="0" w:firstLine="720"/>
        <w:jc w:val="both"/>
        <w:rPr>
          <w:rFonts w:ascii="Cambria" w:eastAsia="Batang" w:hAnsi="Cambria"/>
          <w:bCs/>
          <w:color w:val="080808"/>
          <w:sz w:val="20"/>
          <w:szCs w:val="20"/>
        </w:rPr>
      </w:pPr>
      <w:r w:rsidRPr="007D4250">
        <w:rPr>
          <w:rFonts w:ascii="Cambria" w:hAnsi="Cambria"/>
          <w:sz w:val="20"/>
          <w:szCs w:val="20"/>
        </w:rPr>
        <w:t>On April 24, 2022, the Commission approved the friendly settlement agreement in Report No. 6</w:t>
      </w:r>
      <w:r w:rsidR="00B05747" w:rsidRPr="007D4250">
        <w:rPr>
          <w:rFonts w:ascii="Cambria" w:hAnsi="Cambria"/>
          <w:sz w:val="20"/>
          <w:szCs w:val="20"/>
        </w:rPr>
        <w:t>1</w:t>
      </w:r>
      <w:r w:rsidRPr="007D4250">
        <w:rPr>
          <w:rFonts w:ascii="Cambria" w:hAnsi="Cambria"/>
          <w:sz w:val="20"/>
          <w:szCs w:val="20"/>
        </w:rPr>
        <w:t>/22.</w:t>
      </w:r>
    </w:p>
    <w:p w14:paraId="1FEB4A7B" w14:textId="77777777" w:rsidR="001541D4" w:rsidRPr="007175E2" w:rsidRDefault="001541D4" w:rsidP="005C343C">
      <w:pPr>
        <w:spacing w:after="0" w:line="240" w:lineRule="auto"/>
        <w:contextualSpacing/>
        <w:jc w:val="both"/>
        <w:rPr>
          <w:rFonts w:ascii="Cambria" w:eastAsia="Batang" w:hAnsi="Cambria" w:cs="Calibri Light"/>
          <w:color w:val="000000"/>
          <w:highlight w:val="cyan"/>
        </w:rPr>
      </w:pPr>
    </w:p>
    <w:p w14:paraId="15B19F76" w14:textId="77777777" w:rsidR="005C343C" w:rsidRPr="007175E2" w:rsidRDefault="005C343C" w:rsidP="005C343C">
      <w:pPr>
        <w:pStyle w:val="ListParagraph"/>
        <w:numPr>
          <w:ilvl w:val="0"/>
          <w:numId w:val="37"/>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t xml:space="preserve">ANALYSIS OF COMPLIANCE WITH THE CLAUSES OF THE FRIENDLY SETTLEMENT </w:t>
      </w:r>
    </w:p>
    <w:p w14:paraId="5A3F2B7C" w14:textId="77777777" w:rsidR="005C343C" w:rsidRPr="007175E2" w:rsidRDefault="005C343C" w:rsidP="005C343C">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5C343C" w:rsidRPr="00A64AD6" w14:paraId="648F66F2" w14:textId="77777777" w:rsidTr="00393DF2">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742809" w14:textId="77777777" w:rsidR="005C343C" w:rsidRPr="007D4250" w:rsidRDefault="005C343C" w:rsidP="00393DF2">
            <w:pPr>
              <w:tabs>
                <w:tab w:val="center" w:pos="2049"/>
              </w:tabs>
              <w:spacing w:after="0" w:line="240" w:lineRule="auto"/>
              <w:jc w:val="center"/>
              <w:rPr>
                <w:rFonts w:ascii="Cambria" w:eastAsia="Batang" w:hAnsi="Cambria"/>
                <w:b/>
                <w:color w:val="000000"/>
                <w:sz w:val="20"/>
                <w:szCs w:val="20"/>
              </w:rPr>
            </w:pPr>
            <w:r w:rsidRPr="007D4250">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0C201" w14:textId="77777777" w:rsidR="005C343C" w:rsidRPr="007D4250" w:rsidRDefault="005C343C" w:rsidP="00393DF2">
            <w:pPr>
              <w:spacing w:after="0" w:line="240" w:lineRule="auto"/>
              <w:jc w:val="center"/>
              <w:rPr>
                <w:rFonts w:ascii="Cambria" w:eastAsia="Batang" w:hAnsi="Cambria"/>
                <w:b/>
                <w:color w:val="000000"/>
                <w:sz w:val="20"/>
                <w:szCs w:val="20"/>
              </w:rPr>
            </w:pPr>
            <w:r w:rsidRPr="007D4250">
              <w:rPr>
                <w:rFonts w:ascii="Cambria" w:eastAsia="Batang" w:hAnsi="Cambria"/>
                <w:b/>
                <w:color w:val="000000"/>
                <w:sz w:val="20"/>
                <w:szCs w:val="20"/>
              </w:rPr>
              <w:t xml:space="preserve">Status of Implementation </w:t>
            </w:r>
          </w:p>
        </w:tc>
      </w:tr>
      <w:tr w:rsidR="005C343C" w:rsidRPr="00A64AD6" w14:paraId="1EFD47EA" w14:textId="77777777" w:rsidTr="00DA0857">
        <w:trPr>
          <w:trHeight w:val="221"/>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3BEA1A3C" w14:textId="4A2EBD85" w:rsidR="005C343C" w:rsidRPr="007D4250" w:rsidRDefault="005C343C" w:rsidP="005C343C">
            <w:pPr>
              <w:spacing w:after="0" w:line="240" w:lineRule="auto"/>
              <w:rPr>
                <w:rFonts w:ascii="Cambria" w:eastAsia="Batang" w:hAnsi="Cambria"/>
                <w:b/>
                <w:color w:val="000000"/>
                <w:sz w:val="20"/>
                <w:szCs w:val="20"/>
                <w:lang w:eastAsia="es-ES_tradnl"/>
              </w:rPr>
            </w:pPr>
            <w:r w:rsidRPr="007D4250">
              <w:rPr>
                <w:rFonts w:ascii="Cambria" w:hAnsi="Cambria"/>
                <w:b/>
                <w:bCs/>
                <w:color w:val="000000"/>
                <w:sz w:val="20"/>
                <w:szCs w:val="20"/>
              </w:rPr>
              <w:t>4. AGREED COMPREHENSIVE REPARATION MEASURES</w:t>
            </w:r>
          </w:p>
        </w:tc>
      </w:tr>
      <w:tr w:rsidR="005C343C" w:rsidRPr="00A64AD6" w14:paraId="689D1C30" w14:textId="77777777" w:rsidTr="00393DF2">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0C19D2AF" w14:textId="77777777" w:rsidR="005C343C" w:rsidRPr="007D4250" w:rsidRDefault="005C343C" w:rsidP="005C343C">
            <w:pPr>
              <w:spacing w:after="0" w:line="240" w:lineRule="auto"/>
              <w:jc w:val="both"/>
              <w:rPr>
                <w:rFonts w:ascii="Cambria" w:hAnsi="Cambria"/>
                <w:b/>
                <w:bCs/>
                <w:color w:val="000000"/>
                <w:sz w:val="20"/>
                <w:szCs w:val="20"/>
              </w:rPr>
            </w:pPr>
            <w:r w:rsidRPr="007D4250">
              <w:rPr>
                <w:rFonts w:ascii="Cambria" w:hAnsi="Cambria"/>
                <w:b/>
                <w:bCs/>
                <w:color w:val="000000"/>
                <w:sz w:val="20"/>
                <w:szCs w:val="20"/>
              </w:rPr>
              <w:t>4.1. INTERNATIONAL RECOGNITION</w:t>
            </w:r>
          </w:p>
          <w:p w14:paraId="3DB2BA81" w14:textId="1B7C56C7" w:rsidR="005C343C" w:rsidRPr="007D4250" w:rsidRDefault="005C343C" w:rsidP="005C343C">
            <w:pPr>
              <w:spacing w:after="0" w:line="240" w:lineRule="auto"/>
              <w:jc w:val="both"/>
              <w:rPr>
                <w:rFonts w:ascii="Cambria" w:eastAsia="MS Mincho" w:hAnsi="Cambria"/>
                <w:b/>
                <w:sz w:val="20"/>
                <w:szCs w:val="20"/>
                <w:lang w:eastAsia="es-ES_tradnl"/>
              </w:rPr>
            </w:pPr>
            <w:r w:rsidRPr="007D4250">
              <w:rPr>
                <w:rFonts w:ascii="Cambria" w:hAnsi="Cambria"/>
                <w:b/>
                <w:bCs/>
                <w:color w:val="000000"/>
                <w:sz w:val="20"/>
                <w:szCs w:val="20"/>
              </w:rPr>
              <w:t xml:space="preserve">4.1.1. </w:t>
            </w:r>
            <w:r w:rsidRPr="007D4250">
              <w:rPr>
                <w:rFonts w:ascii="Cambria" w:hAnsi="Cambria"/>
                <w:color w:val="000000"/>
                <w:sz w:val="20"/>
                <w:szCs w:val="20"/>
              </w:rPr>
              <w:t>The State of Guatemala, through its representative, the Attorney General of the Nation, Jorge Luis Donado Vivar, recognizes the importance of reaching a friendly settlement agreement in the present case, based on respect for the human rights established in the American Convention on Human Rights and the International Covenant on Civil and Political Rights.</w:t>
            </w:r>
            <w:r w:rsidRPr="007D4250">
              <w:rPr>
                <w:rFonts w:ascii="Cambria" w:hAnsi="Cambria"/>
                <w:b/>
                <w:bCs/>
                <w:color w:val="000000"/>
                <w:sz w:val="20"/>
                <w:szCs w:val="20"/>
              </w:rPr>
              <w:t xml:space="preserve"> 4.1.2</w:t>
            </w:r>
            <w:r w:rsidRPr="007D4250">
              <w:rPr>
                <w:rFonts w:ascii="Cambria" w:hAnsi="Cambria"/>
                <w:color w:val="000000"/>
                <w:sz w:val="20"/>
                <w:szCs w:val="20"/>
              </w:rPr>
              <w:t>. In this regard, the State of Guatemala recognizes the human right of political participation of the applicants, which is regulated and protected by the Political Constitution of the Republic of Guatemala, the American Convention on Human Rights and the International Covenant on Civil and Political Rights, therefore the exercise of this universal right may not be limited or restricted for any reason,  based on the equal rights that assist men and women to participate in (sic) to get involved in the political life of the Nation, as long as the enabling requirements that must be qualified by the corresponding entities are met, prior to participating in a position of popular election.</w:t>
            </w:r>
          </w:p>
        </w:tc>
        <w:tc>
          <w:tcPr>
            <w:tcW w:w="1985" w:type="dxa"/>
            <w:tcBorders>
              <w:top w:val="single" w:sz="4" w:space="0" w:color="auto"/>
              <w:left w:val="single" w:sz="4" w:space="0" w:color="auto"/>
              <w:bottom w:val="single" w:sz="4" w:space="0" w:color="auto"/>
              <w:right w:val="single" w:sz="4" w:space="0" w:color="auto"/>
            </w:tcBorders>
            <w:vAlign w:val="center"/>
          </w:tcPr>
          <w:p w14:paraId="0CA9C953" w14:textId="77777777" w:rsidR="005C343C" w:rsidRPr="007D4250" w:rsidRDefault="005C343C" w:rsidP="00393DF2">
            <w:pPr>
              <w:spacing w:after="0" w:line="240" w:lineRule="auto"/>
              <w:jc w:val="center"/>
              <w:rPr>
                <w:rFonts w:ascii="Cambria" w:hAnsi="Cambria"/>
                <w:b/>
                <w:sz w:val="20"/>
                <w:szCs w:val="20"/>
              </w:rPr>
            </w:pPr>
            <w:r w:rsidRPr="007D4250">
              <w:rPr>
                <w:rFonts w:ascii="Cambria" w:eastAsia="Batang" w:hAnsi="Cambria"/>
                <w:b/>
                <w:color w:val="000000"/>
                <w:sz w:val="20"/>
                <w:szCs w:val="20"/>
                <w:lang w:eastAsia="es-ES_tradnl"/>
              </w:rPr>
              <w:t xml:space="preserve">Declarative clause </w:t>
            </w:r>
          </w:p>
        </w:tc>
      </w:tr>
      <w:tr w:rsidR="005C343C" w:rsidRPr="00A64AD6" w14:paraId="0AAE917F" w14:textId="77777777" w:rsidTr="005C343C">
        <w:trPr>
          <w:trHeight w:val="303"/>
          <w:jc w:val="center"/>
        </w:trPr>
        <w:tc>
          <w:tcPr>
            <w:tcW w:w="9356" w:type="dxa"/>
            <w:gridSpan w:val="2"/>
            <w:tcBorders>
              <w:top w:val="single" w:sz="4" w:space="0" w:color="auto"/>
              <w:left w:val="single" w:sz="4" w:space="0" w:color="auto"/>
              <w:bottom w:val="single" w:sz="4" w:space="0" w:color="auto"/>
              <w:right w:val="single" w:sz="4" w:space="0" w:color="auto"/>
            </w:tcBorders>
          </w:tcPr>
          <w:p w14:paraId="40B8C01B" w14:textId="18BD8A36" w:rsidR="005C343C" w:rsidRPr="007D4250" w:rsidRDefault="005C343C" w:rsidP="005C343C">
            <w:pPr>
              <w:spacing w:after="0" w:line="240" w:lineRule="auto"/>
              <w:rPr>
                <w:rFonts w:ascii="Cambria" w:eastAsia="Batang" w:hAnsi="Cambria"/>
                <w:b/>
                <w:bCs/>
                <w:color w:val="000000"/>
                <w:sz w:val="20"/>
                <w:szCs w:val="20"/>
                <w:lang w:eastAsia="es-ES_tradnl"/>
              </w:rPr>
            </w:pPr>
            <w:r w:rsidRPr="007D4250">
              <w:rPr>
                <w:rFonts w:ascii="Cambria" w:hAnsi="Cambria"/>
                <w:b/>
                <w:bCs/>
                <w:color w:val="000000"/>
                <w:sz w:val="20"/>
                <w:szCs w:val="20"/>
              </w:rPr>
              <w:t>4.2. NON-REPETITION MEASURE</w:t>
            </w:r>
          </w:p>
        </w:tc>
      </w:tr>
      <w:tr w:rsidR="005C343C" w:rsidRPr="00A64AD6" w14:paraId="1B18B55A" w14:textId="77777777" w:rsidTr="00393DF2">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0E33CD2A" w14:textId="623CE352" w:rsidR="005C343C" w:rsidRPr="007D4250" w:rsidRDefault="00230923" w:rsidP="00393DF2">
            <w:pPr>
              <w:spacing w:after="0" w:line="240" w:lineRule="auto"/>
              <w:ind w:right="72"/>
              <w:jc w:val="both"/>
              <w:rPr>
                <w:rFonts w:ascii="Cambria" w:hAnsi="Cambria"/>
                <w:bCs/>
                <w:color w:val="000000"/>
                <w:kern w:val="36"/>
                <w:sz w:val="20"/>
                <w:szCs w:val="20"/>
              </w:rPr>
            </w:pPr>
            <w:r w:rsidRPr="007D4250">
              <w:rPr>
                <w:rFonts w:ascii="Cambria" w:hAnsi="Cambria"/>
                <w:b/>
                <w:bCs/>
                <w:color w:val="000000"/>
                <w:sz w:val="20"/>
                <w:szCs w:val="20"/>
              </w:rPr>
              <w:t>4.2.1.</w:t>
            </w:r>
            <w:r w:rsidRPr="007D4250">
              <w:rPr>
                <w:rFonts w:ascii="Cambria" w:hAnsi="Cambria"/>
                <w:color w:val="000000"/>
                <w:sz w:val="20"/>
                <w:szCs w:val="20"/>
              </w:rPr>
              <w:t xml:space="preserve"> The State of Guatemala undertakes to carry out 02 awareness-raising campaigns through the Presidential Commission for Peace and Human Rights, in order to promote equality in the political participation of women in the political life of the State of Guatemala; being this case and other cases that have been known under the control of conventionality the object of study.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5279D4" w14:textId="4BD375D8" w:rsidR="005C343C" w:rsidRPr="007D4250" w:rsidRDefault="00230923" w:rsidP="00393DF2">
            <w:pPr>
              <w:spacing w:after="0" w:line="240" w:lineRule="auto"/>
              <w:jc w:val="center"/>
              <w:rPr>
                <w:rFonts w:ascii="Cambria" w:eastAsia="Batang" w:hAnsi="Cambria"/>
                <w:b/>
                <w:bCs/>
                <w:color w:val="000000"/>
                <w:sz w:val="20"/>
                <w:szCs w:val="20"/>
              </w:rPr>
            </w:pPr>
            <w:r w:rsidRPr="007D4250">
              <w:rPr>
                <w:rFonts w:ascii="Cambria" w:eastAsia="Batang" w:hAnsi="Cambria"/>
                <w:b/>
                <w:bCs/>
                <w:color w:val="000000"/>
                <w:sz w:val="20"/>
                <w:szCs w:val="20"/>
                <w:lang w:eastAsia="es-ES_tradnl"/>
              </w:rPr>
              <w:t>Total</w:t>
            </w:r>
            <w:r w:rsidR="00294F15" w:rsidRPr="007D4250">
              <w:rPr>
                <w:rStyle w:val="FootnoteReference"/>
                <w:rFonts w:ascii="Cambria" w:eastAsia="Batang" w:hAnsi="Cambria"/>
                <w:b/>
                <w:bCs/>
                <w:color w:val="000000"/>
                <w:sz w:val="20"/>
                <w:szCs w:val="20"/>
              </w:rPr>
              <w:footnoteReference w:id="1"/>
            </w:r>
          </w:p>
        </w:tc>
      </w:tr>
      <w:tr w:rsidR="005C343C" w:rsidRPr="00A64AD6" w14:paraId="115C2CAC" w14:textId="77777777" w:rsidTr="00393DF2">
        <w:trPr>
          <w:trHeight w:val="367"/>
          <w:jc w:val="center"/>
        </w:trPr>
        <w:tc>
          <w:tcPr>
            <w:tcW w:w="7371" w:type="dxa"/>
            <w:tcBorders>
              <w:top w:val="single" w:sz="4" w:space="0" w:color="auto"/>
              <w:left w:val="single" w:sz="4" w:space="0" w:color="auto"/>
              <w:bottom w:val="single" w:sz="4" w:space="0" w:color="auto"/>
              <w:right w:val="single" w:sz="4" w:space="0" w:color="auto"/>
            </w:tcBorders>
            <w:vAlign w:val="center"/>
          </w:tcPr>
          <w:p w14:paraId="5179154B" w14:textId="22449944" w:rsidR="005C343C" w:rsidRPr="007D4250" w:rsidRDefault="00230923" w:rsidP="00230923">
            <w:pPr>
              <w:spacing w:after="0" w:line="240" w:lineRule="auto"/>
              <w:ind w:right="72"/>
              <w:jc w:val="both"/>
              <w:rPr>
                <w:rFonts w:ascii="Cambria" w:eastAsia="Times New Roman" w:hAnsi="Cambria"/>
                <w:bCs/>
                <w:sz w:val="20"/>
                <w:szCs w:val="20"/>
              </w:rPr>
            </w:pPr>
            <w:r w:rsidRPr="007D4250">
              <w:rPr>
                <w:rFonts w:ascii="Cambria" w:hAnsi="Cambria"/>
                <w:b/>
                <w:bCs/>
                <w:color w:val="000000"/>
                <w:sz w:val="20"/>
                <w:szCs w:val="20"/>
              </w:rPr>
              <w:t>4.2.2.</w:t>
            </w:r>
            <w:r w:rsidRPr="007D4250">
              <w:rPr>
                <w:rFonts w:ascii="Cambria" w:hAnsi="Cambria"/>
                <w:color w:val="000000"/>
                <w:sz w:val="20"/>
                <w:szCs w:val="20"/>
              </w:rPr>
              <w:t xml:space="preserve"> The State of Guatemala, through the Presidential Commission for Peace and Human Rights, will promote 02 forums with the different private and public educational institutions in order to promote equality in the political participation of women in the political life of the State of Guatemala; in which these cases will also be analyzed and studied.</w:t>
            </w:r>
          </w:p>
        </w:tc>
        <w:tc>
          <w:tcPr>
            <w:tcW w:w="1985" w:type="dxa"/>
            <w:tcBorders>
              <w:top w:val="single" w:sz="4" w:space="0" w:color="auto"/>
              <w:left w:val="single" w:sz="4" w:space="0" w:color="auto"/>
              <w:bottom w:val="single" w:sz="4" w:space="0" w:color="auto"/>
              <w:right w:val="single" w:sz="4" w:space="0" w:color="auto"/>
            </w:tcBorders>
            <w:vAlign w:val="center"/>
          </w:tcPr>
          <w:p w14:paraId="2D32CFD7" w14:textId="77777777" w:rsidR="005C343C" w:rsidRPr="007D4250" w:rsidRDefault="005C343C" w:rsidP="00393DF2">
            <w:pPr>
              <w:spacing w:after="0" w:line="240" w:lineRule="auto"/>
              <w:jc w:val="center"/>
              <w:rPr>
                <w:rFonts w:ascii="Cambria" w:hAnsi="Cambria"/>
                <w:b/>
                <w:color w:val="000000"/>
                <w:sz w:val="20"/>
                <w:szCs w:val="20"/>
              </w:rPr>
            </w:pPr>
            <w:r w:rsidRPr="007D4250">
              <w:rPr>
                <w:rFonts w:ascii="Cambria" w:hAnsi="Cambria"/>
                <w:b/>
                <w:sz w:val="20"/>
                <w:szCs w:val="20"/>
              </w:rPr>
              <w:t>Total</w:t>
            </w:r>
            <w:r w:rsidRPr="007D4250">
              <w:rPr>
                <w:rFonts w:ascii="Cambria" w:eastAsia="MS Mincho" w:hAnsi="Cambria"/>
                <w:b/>
                <w:sz w:val="20"/>
                <w:szCs w:val="20"/>
                <w:vertAlign w:val="superscript"/>
                <w:lang w:eastAsia="es-ES_tradnl"/>
              </w:rPr>
              <w:footnoteReference w:id="2"/>
            </w:r>
          </w:p>
        </w:tc>
      </w:tr>
      <w:tr w:rsidR="005C343C" w:rsidRPr="00A64AD6" w14:paraId="5F78D35B" w14:textId="77777777" w:rsidTr="00B05747">
        <w:trPr>
          <w:trHeight w:val="983"/>
          <w:jc w:val="center"/>
        </w:trPr>
        <w:tc>
          <w:tcPr>
            <w:tcW w:w="7371" w:type="dxa"/>
            <w:tcBorders>
              <w:top w:val="single" w:sz="4" w:space="0" w:color="auto"/>
              <w:left w:val="single" w:sz="4" w:space="0" w:color="auto"/>
              <w:bottom w:val="single" w:sz="4" w:space="0" w:color="auto"/>
              <w:right w:val="single" w:sz="4" w:space="0" w:color="auto"/>
            </w:tcBorders>
          </w:tcPr>
          <w:p w14:paraId="61BF4479" w14:textId="77777777" w:rsidR="00230923" w:rsidRPr="007D4250" w:rsidRDefault="00230923" w:rsidP="00230923">
            <w:pPr>
              <w:spacing w:line="240" w:lineRule="auto"/>
              <w:jc w:val="both"/>
              <w:rPr>
                <w:rFonts w:ascii="Cambria" w:hAnsi="Cambria"/>
                <w:b/>
                <w:bCs/>
                <w:color w:val="000000"/>
                <w:sz w:val="20"/>
                <w:szCs w:val="20"/>
              </w:rPr>
            </w:pPr>
            <w:r w:rsidRPr="007D4250">
              <w:rPr>
                <w:rFonts w:ascii="Cambria" w:hAnsi="Cambria"/>
                <w:b/>
                <w:bCs/>
                <w:color w:val="000000"/>
                <w:sz w:val="20"/>
                <w:szCs w:val="20"/>
              </w:rPr>
              <w:t xml:space="preserve">5. ECONOMIC REPARATION MEASURE 5.1. </w:t>
            </w:r>
            <w:r w:rsidRPr="007D4250">
              <w:rPr>
                <w:rFonts w:ascii="Cambria" w:hAnsi="Cambria"/>
                <w:color w:val="000000"/>
                <w:sz w:val="20"/>
                <w:szCs w:val="20"/>
              </w:rPr>
              <w:t>The victims of this case renounce the economic compensation generated by the affectation to their conventional rights.</w:t>
            </w:r>
          </w:p>
          <w:p w14:paraId="41B822A1" w14:textId="77777777" w:rsidR="005C343C" w:rsidRPr="007D4250" w:rsidRDefault="005C343C" w:rsidP="00230923">
            <w:pPr>
              <w:spacing w:after="0" w:line="240" w:lineRule="auto"/>
              <w:jc w:val="both"/>
              <w:rPr>
                <w:rFonts w:ascii="Cambria" w:eastAsia="Times New Roman" w:hAnsi="Cambria"/>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01562B6" w14:textId="22A85013" w:rsidR="005C343C" w:rsidRPr="007D4250" w:rsidRDefault="00230923" w:rsidP="00393DF2">
            <w:pPr>
              <w:spacing w:after="0" w:line="240" w:lineRule="auto"/>
              <w:jc w:val="center"/>
              <w:rPr>
                <w:rFonts w:ascii="Cambria" w:hAnsi="Cambria"/>
                <w:b/>
                <w:color w:val="000000"/>
                <w:sz w:val="20"/>
                <w:szCs w:val="20"/>
              </w:rPr>
            </w:pPr>
            <w:r w:rsidRPr="007D4250">
              <w:rPr>
                <w:rFonts w:ascii="Cambria" w:eastAsia="Batang" w:hAnsi="Cambria"/>
                <w:b/>
                <w:color w:val="000000"/>
                <w:sz w:val="20"/>
                <w:szCs w:val="20"/>
                <w:lang w:eastAsia="es-ES_tradnl"/>
              </w:rPr>
              <w:t>Declarative clause</w:t>
            </w:r>
          </w:p>
        </w:tc>
      </w:tr>
    </w:tbl>
    <w:p w14:paraId="209504C3"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p w14:paraId="65B13511" w14:textId="6148033C" w:rsidR="00294F15" w:rsidRPr="00294F15" w:rsidRDefault="00294F15" w:rsidP="00294F15">
      <w:pPr>
        <w:pStyle w:val="ListParagraph"/>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294F15">
        <w:rPr>
          <w:rFonts w:ascii="Cambria" w:eastAsia="Batang" w:hAnsi="Cambria" w:cs="Calibri Light"/>
          <w:b/>
          <w:color w:val="000000"/>
        </w:rPr>
        <w:t xml:space="preserve">LEVEL OF COMPLIANCE OF THE CASE </w:t>
      </w:r>
    </w:p>
    <w:p w14:paraId="5A4DAF7B" w14:textId="77777777" w:rsidR="00294F15" w:rsidRPr="007175E2" w:rsidRDefault="00294F15" w:rsidP="00294F15">
      <w:pPr>
        <w:tabs>
          <w:tab w:val="left" w:pos="720"/>
        </w:tabs>
        <w:autoSpaceDE w:val="0"/>
        <w:autoSpaceDN w:val="0"/>
        <w:adjustRightInd w:val="0"/>
        <w:spacing w:after="0" w:line="240" w:lineRule="auto"/>
        <w:ind w:left="1440"/>
        <w:jc w:val="both"/>
        <w:rPr>
          <w:rFonts w:ascii="Cambria" w:eastAsia="Batang" w:hAnsi="Cambria"/>
          <w:color w:val="000000"/>
        </w:rPr>
      </w:pPr>
    </w:p>
    <w:p w14:paraId="7151E782" w14:textId="7F31DDD5" w:rsidR="00294F15" w:rsidRPr="007D4250" w:rsidRDefault="00294F15" w:rsidP="00843DC5">
      <w:pPr>
        <w:pStyle w:val="ListParagraph"/>
        <w:numPr>
          <w:ilvl w:val="0"/>
          <w:numId w:val="4"/>
        </w:numPr>
        <w:tabs>
          <w:tab w:val="left" w:pos="0"/>
        </w:tabs>
        <w:autoSpaceDE w:val="0"/>
        <w:autoSpaceDN w:val="0"/>
        <w:adjustRightInd w:val="0"/>
        <w:spacing w:after="0" w:line="240" w:lineRule="auto"/>
        <w:ind w:left="0" w:right="4" w:firstLine="720"/>
        <w:jc w:val="both"/>
        <w:rPr>
          <w:rFonts w:ascii="Cambria" w:eastAsia="Batang" w:hAnsi="Cambria" w:cs="Calibri Light"/>
          <w:b/>
          <w:color w:val="080808"/>
          <w:sz w:val="20"/>
          <w:szCs w:val="20"/>
        </w:rPr>
      </w:pPr>
      <w:r w:rsidRPr="007D4250">
        <w:rPr>
          <w:rFonts w:ascii="Cambria" w:hAnsi="Cambria"/>
          <w:color w:val="080808"/>
          <w:sz w:val="20"/>
          <w:szCs w:val="20"/>
        </w:rPr>
        <w:t>The Commission declared full compliance with the case and the ceasing of the follow-up of the friendly settlement agreement in the 2023 Annual Report.</w:t>
      </w:r>
    </w:p>
    <w:p w14:paraId="6D8EB26B" w14:textId="77777777" w:rsidR="00294F15" w:rsidRDefault="00294F15" w:rsidP="00294F15">
      <w:pPr>
        <w:tabs>
          <w:tab w:val="left" w:pos="0"/>
        </w:tabs>
        <w:autoSpaceDE w:val="0"/>
        <w:autoSpaceDN w:val="0"/>
        <w:adjustRightInd w:val="0"/>
        <w:spacing w:after="0" w:line="240" w:lineRule="auto"/>
        <w:ind w:right="4"/>
        <w:jc w:val="both"/>
        <w:rPr>
          <w:rFonts w:ascii="Cambria" w:eastAsia="Batang" w:hAnsi="Cambria" w:cs="Calibri Light"/>
          <w:b/>
          <w:color w:val="080808"/>
        </w:rPr>
      </w:pPr>
    </w:p>
    <w:p w14:paraId="36AD4221" w14:textId="77777777" w:rsidR="00294F15" w:rsidRPr="007175E2" w:rsidRDefault="00294F15" w:rsidP="00294F15">
      <w:pPr>
        <w:pStyle w:val="ListParagraph"/>
        <w:numPr>
          <w:ilvl w:val="0"/>
          <w:numId w:val="37"/>
        </w:numPr>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INDIVIDUAL AND STRUCTURAL OUTCOMES OF THE CASE </w:t>
      </w:r>
    </w:p>
    <w:p w14:paraId="2FCEC9A6" w14:textId="77777777" w:rsidR="00294F15" w:rsidRPr="007175E2" w:rsidRDefault="00294F15" w:rsidP="00294F15">
      <w:pPr>
        <w:spacing w:after="0" w:line="240" w:lineRule="auto"/>
        <w:ind w:firstLine="709"/>
        <w:contextualSpacing/>
        <w:jc w:val="both"/>
        <w:rPr>
          <w:rFonts w:ascii="Cambria" w:eastAsia="Batang" w:hAnsi="Cambria" w:cs="Calibri Light"/>
          <w:b/>
          <w:color w:val="000000"/>
        </w:rPr>
      </w:pPr>
    </w:p>
    <w:p w14:paraId="2B1AC118" w14:textId="77777777" w:rsidR="00294F15" w:rsidRPr="007D4250" w:rsidRDefault="00294F15" w:rsidP="00294F15">
      <w:pPr>
        <w:numPr>
          <w:ilvl w:val="0"/>
          <w:numId w:val="38"/>
        </w:numPr>
        <w:spacing w:after="0" w:line="240" w:lineRule="auto"/>
        <w:ind w:left="1418" w:right="4" w:hanging="709"/>
        <w:contextualSpacing/>
        <w:jc w:val="both"/>
        <w:rPr>
          <w:rFonts w:ascii="Cambria" w:hAnsi="Cambria" w:cs="Calibri Light"/>
          <w:b/>
          <w:sz w:val="20"/>
          <w:szCs w:val="20"/>
        </w:rPr>
      </w:pPr>
      <w:r w:rsidRPr="007D4250">
        <w:rPr>
          <w:rFonts w:ascii="Cambria" w:hAnsi="Cambria" w:cs="Calibri Light"/>
          <w:b/>
          <w:sz w:val="20"/>
          <w:szCs w:val="20"/>
        </w:rPr>
        <w:t>Individual outcomes of the case</w:t>
      </w:r>
    </w:p>
    <w:p w14:paraId="3C6E7CC0" w14:textId="77777777" w:rsidR="00294F15" w:rsidRPr="007D4250" w:rsidRDefault="00294F15" w:rsidP="00294F15">
      <w:pPr>
        <w:spacing w:after="0" w:line="240" w:lineRule="auto"/>
        <w:ind w:left="1418" w:right="4" w:hanging="709"/>
        <w:contextualSpacing/>
        <w:jc w:val="both"/>
        <w:rPr>
          <w:rFonts w:ascii="Cambria" w:hAnsi="Cambria" w:cs="Calibri Light"/>
          <w:b/>
          <w:sz w:val="20"/>
          <w:szCs w:val="20"/>
        </w:rPr>
      </w:pPr>
    </w:p>
    <w:p w14:paraId="0A562FD7" w14:textId="77777777" w:rsidR="00294F15" w:rsidRPr="007D4250" w:rsidRDefault="00294F15" w:rsidP="007D4250">
      <w:pPr>
        <w:numPr>
          <w:ilvl w:val="0"/>
          <w:numId w:val="6"/>
        </w:numPr>
        <w:spacing w:after="0" w:line="240" w:lineRule="auto"/>
        <w:ind w:left="1440" w:hanging="720"/>
        <w:contextualSpacing/>
        <w:jc w:val="both"/>
        <w:rPr>
          <w:rFonts w:ascii="Cambria" w:eastAsia="Batang" w:hAnsi="Cambria" w:cs="Calibri Light"/>
          <w:b/>
          <w:color w:val="000000"/>
          <w:sz w:val="20"/>
          <w:szCs w:val="20"/>
        </w:rPr>
      </w:pPr>
      <w:r w:rsidRPr="007D4250">
        <w:rPr>
          <w:rFonts w:ascii="Cambria" w:hAnsi="Cambria"/>
          <w:sz w:val="20"/>
          <w:szCs w:val="20"/>
        </w:rPr>
        <w:t>The State of Guatemala recognized the petitioners’ human right to political participation and the inadmissibility of its unfounded limitation or restriction. The State agrees that women and men enjoy an equal right to participate and engage in the political life of the country, provided that they meet the established criteria as determined by the relevant authorities before running for any office that is elected through popular vote.</w:t>
      </w:r>
    </w:p>
    <w:p w14:paraId="2F881EA6" w14:textId="77777777" w:rsidR="00294F15" w:rsidRPr="007D4250" w:rsidRDefault="00294F15" w:rsidP="00294F15">
      <w:pPr>
        <w:spacing w:after="0" w:line="240" w:lineRule="auto"/>
        <w:ind w:left="1418" w:right="4"/>
        <w:contextualSpacing/>
        <w:jc w:val="both"/>
        <w:rPr>
          <w:rFonts w:ascii="Cambria" w:eastAsia="Batang" w:hAnsi="Cambria"/>
          <w:color w:val="000000"/>
          <w:sz w:val="20"/>
          <w:szCs w:val="20"/>
        </w:rPr>
      </w:pPr>
    </w:p>
    <w:p w14:paraId="140CA192" w14:textId="77777777" w:rsidR="00294F15" w:rsidRPr="007D4250" w:rsidRDefault="00294F15" w:rsidP="00294F15">
      <w:pPr>
        <w:numPr>
          <w:ilvl w:val="0"/>
          <w:numId w:val="38"/>
        </w:numPr>
        <w:spacing w:after="0" w:line="240" w:lineRule="auto"/>
        <w:ind w:left="1418" w:right="4" w:hanging="709"/>
        <w:jc w:val="both"/>
        <w:rPr>
          <w:rFonts w:ascii="Cambria" w:eastAsia="MS Mincho" w:hAnsi="Cambria"/>
          <w:b/>
          <w:sz w:val="20"/>
          <w:szCs w:val="20"/>
          <w:lang w:eastAsia="es-ES_tradnl"/>
        </w:rPr>
      </w:pPr>
      <w:r w:rsidRPr="007D4250">
        <w:rPr>
          <w:rFonts w:ascii="Cambria" w:eastAsia="MS Mincho" w:hAnsi="Cambria"/>
          <w:b/>
          <w:sz w:val="20"/>
          <w:szCs w:val="20"/>
          <w:lang w:eastAsia="es-ES_tradnl"/>
        </w:rPr>
        <w:t>Structural outcomes of the case</w:t>
      </w:r>
    </w:p>
    <w:p w14:paraId="439F1AA8" w14:textId="77777777" w:rsidR="00294F15" w:rsidRPr="007D4250" w:rsidRDefault="00294F15" w:rsidP="00294F15">
      <w:pPr>
        <w:spacing w:after="0" w:line="240" w:lineRule="auto"/>
        <w:ind w:left="1418" w:right="4" w:hanging="709"/>
        <w:jc w:val="both"/>
        <w:rPr>
          <w:rFonts w:ascii="Cambria" w:eastAsia="MS Mincho" w:hAnsi="Cambria"/>
          <w:sz w:val="20"/>
          <w:szCs w:val="20"/>
          <w:lang w:eastAsia="es-ES_tradnl"/>
        </w:rPr>
      </w:pPr>
    </w:p>
    <w:p w14:paraId="12F3CD70" w14:textId="77777777" w:rsidR="00666774" w:rsidRPr="007D4250" w:rsidRDefault="00666774" w:rsidP="007D4250">
      <w:pPr>
        <w:pStyle w:val="ListParagraph"/>
        <w:numPr>
          <w:ilvl w:val="0"/>
          <w:numId w:val="41"/>
        </w:numPr>
        <w:spacing w:after="0" w:line="240" w:lineRule="auto"/>
        <w:ind w:hanging="720"/>
        <w:jc w:val="both"/>
        <w:rPr>
          <w:rFonts w:ascii="Cambria" w:eastAsia="Batang" w:hAnsi="Cambria" w:cs="Calibri Light"/>
          <w:bCs/>
          <w:color w:val="000000"/>
          <w:sz w:val="20"/>
          <w:szCs w:val="20"/>
        </w:rPr>
      </w:pPr>
      <w:r w:rsidRPr="007D4250">
        <w:rPr>
          <w:rFonts w:ascii="Cambria" w:hAnsi="Cambria"/>
          <w:color w:val="000000"/>
          <w:sz w:val="20"/>
          <w:szCs w:val="20"/>
        </w:rPr>
        <w:t>Two awareness campaigns were conducted to foster women’s equal right to political participation in the State of Guatemala. The project “Mujer, participa y empodérate” was thus promoted, the campaigns were disseminated through mass media outlets, which included official government websites and social media platforms, such as Facebook, Instagram and WhatsApp.</w:t>
      </w:r>
    </w:p>
    <w:p w14:paraId="2E1CFF21" w14:textId="77777777" w:rsidR="00666774" w:rsidRPr="007D4250" w:rsidRDefault="00666774" w:rsidP="007D4250">
      <w:pPr>
        <w:pStyle w:val="ListParagraph"/>
        <w:numPr>
          <w:ilvl w:val="0"/>
          <w:numId w:val="41"/>
        </w:numPr>
        <w:spacing w:after="0" w:line="240" w:lineRule="auto"/>
        <w:ind w:hanging="720"/>
        <w:jc w:val="both"/>
        <w:rPr>
          <w:rFonts w:ascii="Cambria" w:eastAsia="Batang" w:hAnsi="Cambria" w:cs="Calibri Light"/>
          <w:bCs/>
          <w:color w:val="000000"/>
          <w:sz w:val="20"/>
          <w:szCs w:val="20"/>
        </w:rPr>
      </w:pPr>
      <w:r w:rsidRPr="007D4250">
        <w:rPr>
          <w:rFonts w:ascii="Cambria" w:hAnsi="Cambria"/>
          <w:bCs/>
          <w:sz w:val="20"/>
          <w:szCs w:val="20"/>
        </w:rPr>
        <w:t>On July 28 and September 29, 2022, two forums were conducted in Guatemala City and the department of Quetzaltenango, respectively. Several public and private educational institutions took part in said forums to foster women’s equal right to political participation in the State of Guatemala. 483 high school students, college students and members of the general public participated in the forums.</w:t>
      </w:r>
      <w:r w:rsidRPr="007D4250">
        <w:rPr>
          <w:rFonts w:ascii="Cambria" w:hAnsi="Cambria"/>
          <w:bCs/>
          <w:color w:val="000000"/>
          <w:sz w:val="20"/>
          <w:szCs w:val="20"/>
        </w:rPr>
        <w:t xml:space="preserve"> </w:t>
      </w:r>
    </w:p>
    <w:p w14:paraId="29746CBB" w14:textId="77777777" w:rsidR="00666774" w:rsidRPr="007D4250" w:rsidRDefault="00666774" w:rsidP="007D4250">
      <w:pPr>
        <w:pStyle w:val="ListParagraph"/>
        <w:numPr>
          <w:ilvl w:val="0"/>
          <w:numId w:val="41"/>
        </w:numPr>
        <w:spacing w:after="0" w:line="240" w:lineRule="auto"/>
        <w:ind w:hanging="720"/>
        <w:jc w:val="both"/>
        <w:rPr>
          <w:rFonts w:ascii="Cambria" w:eastAsia="Batang" w:hAnsi="Cambria" w:cs="Calibri Light"/>
          <w:bCs/>
          <w:color w:val="000000"/>
          <w:sz w:val="20"/>
          <w:szCs w:val="20"/>
        </w:rPr>
      </w:pPr>
      <w:r w:rsidRPr="007D4250">
        <w:rPr>
          <w:rFonts w:ascii="Cambria" w:hAnsi="Cambria"/>
          <w:color w:val="000000"/>
          <w:sz w:val="20"/>
          <w:szCs w:val="20"/>
        </w:rPr>
        <w:t>On July 14 and August 25, 2022, in the municipalities of Cobán and Antigua Guatemala, department of Sacatepéquez, respectively, two public discussions titled “</w:t>
      </w:r>
      <w:r w:rsidRPr="007D4250">
        <w:rPr>
          <w:rFonts w:ascii="Cambria" w:hAnsi="Cambria"/>
          <w:i/>
          <w:iCs/>
          <w:color w:val="000000"/>
          <w:sz w:val="20"/>
          <w:szCs w:val="20"/>
        </w:rPr>
        <w:t>Participación política de la mujer</w:t>
      </w:r>
      <w:r w:rsidRPr="007D4250">
        <w:rPr>
          <w:rFonts w:ascii="Cambria" w:hAnsi="Cambria"/>
          <w:color w:val="000000"/>
          <w:sz w:val="20"/>
          <w:szCs w:val="20"/>
        </w:rPr>
        <w:t>” were held in an interactive manner. The activities carried out reached 919 participants in total. Of these, 87 per cent were women, 57 per cent were between 13 and 30 years old, 61 per cent identified themselves as ladino/mestizo, and 39 per cent identified themselves as Mayan.</w:t>
      </w:r>
    </w:p>
    <w:p w14:paraId="0BCC462F" w14:textId="77777777" w:rsidR="00294F15" w:rsidRPr="00294F15" w:rsidRDefault="00294F15" w:rsidP="00294F15">
      <w:pPr>
        <w:tabs>
          <w:tab w:val="left" w:pos="0"/>
        </w:tabs>
        <w:autoSpaceDE w:val="0"/>
        <w:autoSpaceDN w:val="0"/>
        <w:adjustRightInd w:val="0"/>
        <w:spacing w:after="0" w:line="240" w:lineRule="auto"/>
        <w:ind w:right="4"/>
        <w:jc w:val="both"/>
        <w:rPr>
          <w:rFonts w:ascii="Cambria" w:eastAsia="Batang" w:hAnsi="Cambria" w:cs="Calibri Light"/>
          <w:b/>
          <w:color w:val="080808"/>
        </w:rPr>
      </w:pPr>
    </w:p>
    <w:sectPr w:rsidR="00294F15" w:rsidRPr="00294F15" w:rsidSect="00E871C8">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76E5" w14:textId="77777777" w:rsidR="0084610E" w:rsidRDefault="0084610E" w:rsidP="00A343FF">
      <w:pPr>
        <w:spacing w:after="0" w:line="240" w:lineRule="auto"/>
      </w:pPr>
      <w:r>
        <w:separator/>
      </w:r>
    </w:p>
  </w:endnote>
  <w:endnote w:type="continuationSeparator" w:id="0">
    <w:p w14:paraId="43487957" w14:textId="77777777" w:rsidR="0084610E" w:rsidRDefault="0084610E"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214AB6"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210F" w14:textId="77777777" w:rsidR="0084610E" w:rsidRDefault="0084610E" w:rsidP="00A343FF">
      <w:pPr>
        <w:spacing w:after="0" w:line="240" w:lineRule="auto"/>
      </w:pPr>
      <w:r>
        <w:separator/>
      </w:r>
    </w:p>
  </w:footnote>
  <w:footnote w:type="continuationSeparator" w:id="0">
    <w:p w14:paraId="1E6EFC3A" w14:textId="77777777" w:rsidR="0084610E" w:rsidRDefault="0084610E" w:rsidP="00A343FF">
      <w:pPr>
        <w:spacing w:after="0" w:line="240" w:lineRule="auto"/>
      </w:pPr>
      <w:r>
        <w:continuationSeparator/>
      </w:r>
    </w:p>
  </w:footnote>
  <w:footnote w:id="1">
    <w:p w14:paraId="2B696A9D" w14:textId="6326A414" w:rsidR="00294F15" w:rsidRPr="007D4250" w:rsidRDefault="00294F15" w:rsidP="00294F15">
      <w:pPr>
        <w:pStyle w:val="FootnoteText"/>
        <w:ind w:firstLine="567"/>
        <w:rPr>
          <w:rFonts w:ascii="Cambria" w:hAnsi="Cambria"/>
          <w:sz w:val="16"/>
          <w:szCs w:val="16"/>
        </w:rPr>
      </w:pPr>
      <w:r w:rsidRPr="007D4250">
        <w:rPr>
          <w:rStyle w:val="FootnoteReference"/>
          <w:rFonts w:ascii="Cambria" w:hAnsi="Cambria"/>
          <w:sz w:val="16"/>
          <w:szCs w:val="16"/>
        </w:rPr>
        <w:footnoteRef/>
      </w:r>
      <w:r w:rsidRPr="007D4250">
        <w:rPr>
          <w:rFonts w:ascii="Cambria" w:hAnsi="Cambria"/>
          <w:sz w:val="16"/>
          <w:szCs w:val="16"/>
        </w:rPr>
        <w:t xml:space="preserve"> See IACHR, </w:t>
      </w:r>
      <w:r w:rsidRPr="007D4250">
        <w:rPr>
          <w:rFonts w:ascii="Cambria" w:hAnsi="Cambria"/>
          <w:i/>
          <w:iCs/>
          <w:sz w:val="16"/>
          <w:szCs w:val="16"/>
        </w:rPr>
        <w:t>Annual Report 2023</w:t>
      </w:r>
      <w:r w:rsidRPr="007D4250">
        <w:rPr>
          <w:rFonts w:ascii="Cambria" w:hAnsi="Cambria"/>
          <w:sz w:val="16"/>
          <w:szCs w:val="16"/>
        </w:rPr>
        <w:t xml:space="preserve">, Chapter II, Section C. Advances and regressions on negotiation and Implementation of Friendly Settlement Agreements. Available </w:t>
      </w:r>
      <w:r w:rsidR="00DA7491" w:rsidRPr="007D4250">
        <w:rPr>
          <w:rFonts w:ascii="Cambria" w:hAnsi="Cambria"/>
          <w:sz w:val="16"/>
          <w:szCs w:val="16"/>
        </w:rPr>
        <w:t>at</w:t>
      </w:r>
      <w:r w:rsidRPr="007D4250">
        <w:rPr>
          <w:rFonts w:ascii="Cambria" w:hAnsi="Cambria"/>
          <w:sz w:val="16"/>
          <w:szCs w:val="16"/>
        </w:rPr>
        <w:t>:</w:t>
      </w:r>
      <w:r w:rsidR="00957421" w:rsidRPr="007D4250">
        <w:rPr>
          <w:rFonts w:ascii="Cambria" w:hAnsi="Cambria"/>
          <w:sz w:val="16"/>
          <w:szCs w:val="16"/>
        </w:rPr>
        <w:t xml:space="preserve"> </w:t>
      </w:r>
      <w:hyperlink r:id="rId1" w:history="1">
        <w:r w:rsidR="00957421" w:rsidRPr="00957421">
          <w:rPr>
            <w:rStyle w:val="Hyperlink"/>
            <w:rFonts w:ascii="Cambria" w:hAnsi="Cambria"/>
            <w:sz w:val="16"/>
            <w:szCs w:val="16"/>
          </w:rPr>
          <w:t>https://www.oas.org/en/iachr/docs/annual/2023/chapters/IA2023_Cap_2_ENG.PDF</w:t>
        </w:r>
      </w:hyperlink>
    </w:p>
  </w:footnote>
  <w:footnote w:id="2">
    <w:p w14:paraId="395131D6" w14:textId="74354E74" w:rsidR="005C343C" w:rsidRPr="007175E2" w:rsidRDefault="005C343C" w:rsidP="00294F15">
      <w:pPr>
        <w:pStyle w:val="FootnoteText"/>
        <w:ind w:firstLine="567"/>
        <w:jc w:val="both"/>
        <w:rPr>
          <w:rFonts w:ascii="Cambria" w:hAnsi="Cambria"/>
          <w:color w:val="000000" w:themeColor="text1"/>
          <w:sz w:val="16"/>
          <w:szCs w:val="16"/>
        </w:rPr>
      </w:pPr>
      <w:r w:rsidRPr="007D4250">
        <w:rPr>
          <w:rFonts w:ascii="Cambria" w:hAnsi="Cambria"/>
          <w:color w:val="000000"/>
          <w:sz w:val="16"/>
          <w:szCs w:val="16"/>
          <w:vertAlign w:val="superscript"/>
        </w:rPr>
        <w:footnoteRef/>
      </w:r>
      <w:r w:rsidRPr="007D4250">
        <w:rPr>
          <w:rFonts w:ascii="Cambria" w:hAnsi="Cambria"/>
          <w:color w:val="000000"/>
          <w:sz w:val="16"/>
          <w:szCs w:val="16"/>
        </w:rPr>
        <w:t xml:space="preserve"> </w:t>
      </w:r>
      <w:r w:rsidR="00294F15" w:rsidRPr="007D4250">
        <w:rPr>
          <w:rFonts w:ascii="Cambria" w:hAnsi="Cambria"/>
          <w:sz w:val="16"/>
          <w:szCs w:val="16"/>
        </w:rPr>
        <w:t xml:space="preserve">See IACHR, </w:t>
      </w:r>
      <w:r w:rsidR="00294F15" w:rsidRPr="007D4250">
        <w:rPr>
          <w:rFonts w:ascii="Cambria" w:hAnsi="Cambria"/>
          <w:i/>
          <w:iCs/>
          <w:sz w:val="16"/>
          <w:szCs w:val="16"/>
        </w:rPr>
        <w:t>Annual Report 2023</w:t>
      </w:r>
      <w:r w:rsidR="00294F15" w:rsidRPr="007D4250">
        <w:rPr>
          <w:rFonts w:ascii="Cambria" w:hAnsi="Cambria"/>
          <w:sz w:val="16"/>
          <w:szCs w:val="16"/>
        </w:rPr>
        <w:t xml:space="preserve">, Chapter II, Section C. Advances and regressions on negotiation and Implementation of Friendly Settlement Agreements. Available </w:t>
      </w:r>
      <w:r w:rsidR="00DA7491" w:rsidRPr="007D4250">
        <w:rPr>
          <w:rFonts w:ascii="Cambria" w:hAnsi="Cambria"/>
          <w:sz w:val="16"/>
          <w:szCs w:val="16"/>
        </w:rPr>
        <w:t>at</w:t>
      </w:r>
      <w:r w:rsidR="00957421" w:rsidRPr="007D4250">
        <w:rPr>
          <w:rFonts w:ascii="Cambria" w:hAnsi="Cambria"/>
          <w:color w:val="000000" w:themeColor="text1"/>
          <w:sz w:val="16"/>
          <w:szCs w:val="16"/>
        </w:rPr>
        <w:t xml:space="preserve">: </w:t>
      </w:r>
      <w:hyperlink r:id="rId2" w:history="1">
        <w:r w:rsidR="00957421" w:rsidRPr="00957421">
          <w:rPr>
            <w:rStyle w:val="Hyperlink"/>
            <w:rFonts w:ascii="Cambria" w:hAnsi="Cambria"/>
            <w:sz w:val="16"/>
            <w:szCs w:val="16"/>
          </w:rPr>
          <w:t>https://www.oas.org/en/iachr/docs/annual/2023/chapters/IA2023_Cap_2_ENG.PDF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214AB6">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214AB6"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E7CFD"/>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6427B"/>
    <w:multiLevelType w:val="hybridMultilevel"/>
    <w:tmpl w:val="39840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0"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2"/>
  </w:num>
  <w:num w:numId="2" w16cid:durableId="453600156">
    <w:abstractNumId w:val="30"/>
  </w:num>
  <w:num w:numId="3" w16cid:durableId="897327684">
    <w:abstractNumId w:val="20"/>
  </w:num>
  <w:num w:numId="4" w16cid:durableId="1141650489">
    <w:abstractNumId w:val="29"/>
  </w:num>
  <w:num w:numId="5" w16cid:durableId="746342540">
    <w:abstractNumId w:val="15"/>
  </w:num>
  <w:num w:numId="6" w16cid:durableId="1621692518">
    <w:abstractNumId w:val="6"/>
  </w:num>
  <w:num w:numId="7" w16cid:durableId="971790784">
    <w:abstractNumId w:val="1"/>
  </w:num>
  <w:num w:numId="8" w16cid:durableId="1387029646">
    <w:abstractNumId w:val="36"/>
  </w:num>
  <w:num w:numId="9" w16cid:durableId="1086881292">
    <w:abstractNumId w:val="8"/>
  </w:num>
  <w:num w:numId="10" w16cid:durableId="1292322756">
    <w:abstractNumId w:val="14"/>
  </w:num>
  <w:num w:numId="11" w16cid:durableId="1000500350">
    <w:abstractNumId w:val="2"/>
  </w:num>
  <w:num w:numId="12" w16cid:durableId="1706103099">
    <w:abstractNumId w:val="35"/>
  </w:num>
  <w:num w:numId="13" w16cid:durableId="1756710271">
    <w:abstractNumId w:val="22"/>
  </w:num>
  <w:num w:numId="14" w16cid:durableId="1099252676">
    <w:abstractNumId w:val="39"/>
  </w:num>
  <w:num w:numId="15" w16cid:durableId="1030109151">
    <w:abstractNumId w:val="18"/>
  </w:num>
  <w:num w:numId="16" w16cid:durableId="1722748191">
    <w:abstractNumId w:val="17"/>
  </w:num>
  <w:num w:numId="17" w16cid:durableId="351491452">
    <w:abstractNumId w:val="28"/>
  </w:num>
  <w:num w:numId="18" w16cid:durableId="1027633537">
    <w:abstractNumId w:val="10"/>
  </w:num>
  <w:num w:numId="19" w16cid:durableId="457845413">
    <w:abstractNumId w:val="27"/>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1"/>
  </w:num>
  <w:num w:numId="22" w16cid:durableId="2003926928">
    <w:abstractNumId w:val="11"/>
  </w:num>
  <w:num w:numId="23" w16cid:durableId="1497725357">
    <w:abstractNumId w:val="23"/>
  </w:num>
  <w:num w:numId="24" w16cid:durableId="307248652">
    <w:abstractNumId w:val="25"/>
  </w:num>
  <w:num w:numId="25" w16cid:durableId="1985550389">
    <w:abstractNumId w:val="5"/>
  </w:num>
  <w:num w:numId="26" w16cid:durableId="1478456909">
    <w:abstractNumId w:val="9"/>
  </w:num>
  <w:num w:numId="27" w16cid:durableId="1176925587">
    <w:abstractNumId w:val="3"/>
  </w:num>
  <w:num w:numId="28" w16cid:durableId="1876766616">
    <w:abstractNumId w:val="37"/>
  </w:num>
  <w:num w:numId="29" w16cid:durableId="2142572164">
    <w:abstractNumId w:val="34"/>
  </w:num>
  <w:num w:numId="30" w16cid:durableId="571933528">
    <w:abstractNumId w:val="32"/>
  </w:num>
  <w:num w:numId="31" w16cid:durableId="1861430946">
    <w:abstractNumId w:val="16"/>
  </w:num>
  <w:num w:numId="32" w16cid:durableId="803893092">
    <w:abstractNumId w:val="19"/>
  </w:num>
  <w:num w:numId="33" w16cid:durableId="1739936026">
    <w:abstractNumId w:val="4"/>
  </w:num>
  <w:num w:numId="34" w16cid:durableId="1458915668">
    <w:abstractNumId w:val="31"/>
  </w:num>
  <w:num w:numId="35" w16cid:durableId="1599485303">
    <w:abstractNumId w:val="40"/>
  </w:num>
  <w:num w:numId="36" w16cid:durableId="1664964272">
    <w:abstractNumId w:val="38"/>
  </w:num>
  <w:num w:numId="37" w16cid:durableId="2074966919">
    <w:abstractNumId w:val="33"/>
  </w:num>
  <w:num w:numId="38" w16cid:durableId="20934263">
    <w:abstractNumId w:val="24"/>
  </w:num>
  <w:num w:numId="39" w16cid:durableId="195656616">
    <w:abstractNumId w:val="26"/>
  </w:num>
  <w:num w:numId="40" w16cid:durableId="952593564">
    <w:abstractNumId w:val="7"/>
  </w:num>
  <w:num w:numId="41" w16cid:durableId="161914483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0D6F2C"/>
    <w:rsid w:val="001011E0"/>
    <w:rsid w:val="00101E3E"/>
    <w:rsid w:val="00112395"/>
    <w:rsid w:val="0012326D"/>
    <w:rsid w:val="0012586C"/>
    <w:rsid w:val="00127F17"/>
    <w:rsid w:val="001511FD"/>
    <w:rsid w:val="001541D4"/>
    <w:rsid w:val="00162518"/>
    <w:rsid w:val="001834F6"/>
    <w:rsid w:val="001C516B"/>
    <w:rsid w:val="001D27A3"/>
    <w:rsid w:val="001E3F4C"/>
    <w:rsid w:val="00214AB6"/>
    <w:rsid w:val="00215215"/>
    <w:rsid w:val="0021669C"/>
    <w:rsid w:val="00223074"/>
    <w:rsid w:val="00226F48"/>
    <w:rsid w:val="00230923"/>
    <w:rsid w:val="00236411"/>
    <w:rsid w:val="00240E8E"/>
    <w:rsid w:val="00245D91"/>
    <w:rsid w:val="0025056A"/>
    <w:rsid w:val="002547E7"/>
    <w:rsid w:val="00255A55"/>
    <w:rsid w:val="00260836"/>
    <w:rsid w:val="00277604"/>
    <w:rsid w:val="002859A9"/>
    <w:rsid w:val="00292B52"/>
    <w:rsid w:val="00294A83"/>
    <w:rsid w:val="00294B17"/>
    <w:rsid w:val="00294F15"/>
    <w:rsid w:val="002A39B2"/>
    <w:rsid w:val="002D40CD"/>
    <w:rsid w:val="002E4FBC"/>
    <w:rsid w:val="002F156A"/>
    <w:rsid w:val="00324C1A"/>
    <w:rsid w:val="00335042"/>
    <w:rsid w:val="00335F59"/>
    <w:rsid w:val="00336E78"/>
    <w:rsid w:val="003419CC"/>
    <w:rsid w:val="00343CED"/>
    <w:rsid w:val="0036283E"/>
    <w:rsid w:val="00371855"/>
    <w:rsid w:val="0038327F"/>
    <w:rsid w:val="00385F0C"/>
    <w:rsid w:val="00393310"/>
    <w:rsid w:val="00394EEF"/>
    <w:rsid w:val="003C4836"/>
    <w:rsid w:val="003E4C2F"/>
    <w:rsid w:val="003E533F"/>
    <w:rsid w:val="003E6F57"/>
    <w:rsid w:val="003F3C6B"/>
    <w:rsid w:val="00402700"/>
    <w:rsid w:val="00417964"/>
    <w:rsid w:val="00420BB1"/>
    <w:rsid w:val="0043583A"/>
    <w:rsid w:val="004545D1"/>
    <w:rsid w:val="00457BAB"/>
    <w:rsid w:val="00462B02"/>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205B9"/>
    <w:rsid w:val="00534F2B"/>
    <w:rsid w:val="005566F5"/>
    <w:rsid w:val="005829B9"/>
    <w:rsid w:val="00594A1B"/>
    <w:rsid w:val="005A328E"/>
    <w:rsid w:val="005A49FD"/>
    <w:rsid w:val="005A4D20"/>
    <w:rsid w:val="005A5AE8"/>
    <w:rsid w:val="005A5E14"/>
    <w:rsid w:val="005B2E65"/>
    <w:rsid w:val="005C2637"/>
    <w:rsid w:val="005C32AA"/>
    <w:rsid w:val="005C343C"/>
    <w:rsid w:val="005C414D"/>
    <w:rsid w:val="005D7F05"/>
    <w:rsid w:val="005E3720"/>
    <w:rsid w:val="005E4B03"/>
    <w:rsid w:val="005F171A"/>
    <w:rsid w:val="005F3F21"/>
    <w:rsid w:val="005F4AAA"/>
    <w:rsid w:val="0060081A"/>
    <w:rsid w:val="00604132"/>
    <w:rsid w:val="00634F89"/>
    <w:rsid w:val="00637AFB"/>
    <w:rsid w:val="00655003"/>
    <w:rsid w:val="00660EF3"/>
    <w:rsid w:val="00663A76"/>
    <w:rsid w:val="00666774"/>
    <w:rsid w:val="0067152B"/>
    <w:rsid w:val="00672090"/>
    <w:rsid w:val="006C2941"/>
    <w:rsid w:val="006C2B06"/>
    <w:rsid w:val="006C7308"/>
    <w:rsid w:val="006E2BD8"/>
    <w:rsid w:val="006F0429"/>
    <w:rsid w:val="006F75AC"/>
    <w:rsid w:val="0070407B"/>
    <w:rsid w:val="00705E57"/>
    <w:rsid w:val="007175E2"/>
    <w:rsid w:val="00727940"/>
    <w:rsid w:val="00730193"/>
    <w:rsid w:val="0073227E"/>
    <w:rsid w:val="00732EA4"/>
    <w:rsid w:val="007377D4"/>
    <w:rsid w:val="007B0327"/>
    <w:rsid w:val="007B3452"/>
    <w:rsid w:val="007B3D07"/>
    <w:rsid w:val="007C2CC3"/>
    <w:rsid w:val="007C351D"/>
    <w:rsid w:val="007D4250"/>
    <w:rsid w:val="007D4C18"/>
    <w:rsid w:val="007E463E"/>
    <w:rsid w:val="007F5F4E"/>
    <w:rsid w:val="00801509"/>
    <w:rsid w:val="00802867"/>
    <w:rsid w:val="00806082"/>
    <w:rsid w:val="00807BAA"/>
    <w:rsid w:val="008145AE"/>
    <w:rsid w:val="00817E0C"/>
    <w:rsid w:val="008338E4"/>
    <w:rsid w:val="00833BA8"/>
    <w:rsid w:val="0084610E"/>
    <w:rsid w:val="00846397"/>
    <w:rsid w:val="008521E0"/>
    <w:rsid w:val="00854914"/>
    <w:rsid w:val="008550EF"/>
    <w:rsid w:val="00893661"/>
    <w:rsid w:val="008A1CBE"/>
    <w:rsid w:val="008B1EA8"/>
    <w:rsid w:val="008B2A99"/>
    <w:rsid w:val="008B6DA8"/>
    <w:rsid w:val="008E42E1"/>
    <w:rsid w:val="008E751C"/>
    <w:rsid w:val="008F2248"/>
    <w:rsid w:val="009108A4"/>
    <w:rsid w:val="009162E7"/>
    <w:rsid w:val="00941BE5"/>
    <w:rsid w:val="009457D8"/>
    <w:rsid w:val="00954F1C"/>
    <w:rsid w:val="00957421"/>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61B5E"/>
    <w:rsid w:val="00A64AD6"/>
    <w:rsid w:val="00A678C3"/>
    <w:rsid w:val="00A70B4A"/>
    <w:rsid w:val="00A76705"/>
    <w:rsid w:val="00A7781B"/>
    <w:rsid w:val="00A860C7"/>
    <w:rsid w:val="00AA164D"/>
    <w:rsid w:val="00AB0F8C"/>
    <w:rsid w:val="00AB253B"/>
    <w:rsid w:val="00AC2C8E"/>
    <w:rsid w:val="00AE1B0F"/>
    <w:rsid w:val="00AF2D92"/>
    <w:rsid w:val="00B002D8"/>
    <w:rsid w:val="00B056D9"/>
    <w:rsid w:val="00B05747"/>
    <w:rsid w:val="00B063D6"/>
    <w:rsid w:val="00B120EB"/>
    <w:rsid w:val="00B205A7"/>
    <w:rsid w:val="00B3732F"/>
    <w:rsid w:val="00B40F77"/>
    <w:rsid w:val="00B4343F"/>
    <w:rsid w:val="00B56444"/>
    <w:rsid w:val="00B60889"/>
    <w:rsid w:val="00B674F5"/>
    <w:rsid w:val="00B74EA5"/>
    <w:rsid w:val="00B8008C"/>
    <w:rsid w:val="00B806AC"/>
    <w:rsid w:val="00B93993"/>
    <w:rsid w:val="00B950E7"/>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0DD6"/>
    <w:rsid w:val="00D23C64"/>
    <w:rsid w:val="00D735C2"/>
    <w:rsid w:val="00D76EDC"/>
    <w:rsid w:val="00D91EBA"/>
    <w:rsid w:val="00D9413D"/>
    <w:rsid w:val="00DA7491"/>
    <w:rsid w:val="00DA7797"/>
    <w:rsid w:val="00DC5A37"/>
    <w:rsid w:val="00DC7C8F"/>
    <w:rsid w:val="00DE4A18"/>
    <w:rsid w:val="00DF0FE5"/>
    <w:rsid w:val="00E12118"/>
    <w:rsid w:val="00E177B0"/>
    <w:rsid w:val="00E24621"/>
    <w:rsid w:val="00E3040C"/>
    <w:rsid w:val="00E31824"/>
    <w:rsid w:val="00E42870"/>
    <w:rsid w:val="00E525B3"/>
    <w:rsid w:val="00E6614F"/>
    <w:rsid w:val="00E737AE"/>
    <w:rsid w:val="00E871C8"/>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8575B"/>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List1,Parragrap,Superíndice,Dot pt,No Spacing1,List Paragraph Char Char Char,Indicator Text,Numbered Para 1,4 Párrafo de lista,Figuras,DH1,4 Párrafo de l"/>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List1 Char,Parragrap Char,Superíndice Char,Dot pt Char,No Spacing1 Char,List Paragraph Char Char Char Char,Indicator Text Char,DH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n/iachr/decisions/2022/GUSA1287-19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2/GUSA1287-19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oas.org/en/iachr/docs/annual/2023/chapters/IA2023_Cap_2_ENG.PDF" TargetMode="External"/><Relationship Id="rId1" Type="http://schemas.openxmlformats.org/officeDocument/2006/relationships/hyperlink" Target="https://www.oas.org/en/iachr/docs/annual/2023/chapters/IA2023_Cap_2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3.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5.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